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985"/>
        </w:tabs>
        <w:spacing w:after="120" w:before="120" w:lineRule="auto"/>
        <w:ind w:left="-142"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360" w:hanging="1004"/>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ind w:left="141"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right="50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100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Warranties and duty to notify</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Financial Distress events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smallCaps w:val="1"/>
          <w:color w:val="000000"/>
          <w:sz w:val="24"/>
          <w:szCs w:val="24"/>
        </w:rPr>
      </w:pPr>
      <w:r w:rsidDel="00000000" w:rsidR="00000000" w:rsidRPr="00000000">
        <w:rPr>
          <w:rFonts w:ascii="Arial" w:cs="Arial" w:eastAsia="Arial" w:hAnsi="Arial"/>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Financial Indicators</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644"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2685"/>
        <w:gridCol w:w="1425"/>
        <w:gridCol w:w="2655"/>
        <w:tblGridChange w:id="0">
          <w:tblGrid>
            <w:gridCol w:w="2250"/>
            <w:gridCol w:w="2685"/>
            <w:gridCol w:w="1425"/>
            <w:gridCol w:w="2655"/>
          </w:tblGrid>
        </w:tblGridChange>
      </w:tblGrid>
      <w:tr>
        <w:trPr>
          <w:cantSplit w:val="0"/>
          <w:tblHeader w:val="0"/>
        </w:trPr>
        <w:tc>
          <w:tcPr>
            <w:shd w:fill="d9d9d9" w:val="clear"/>
            <w:vAlign w:val="center"/>
          </w:tcPr>
          <w:p w:rsidR="00000000" w:rsidDel="00000000" w:rsidP="00000000" w:rsidRDefault="00000000" w:rsidRPr="00000000" w14:paraId="0000005F">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shd w:fill="d9d9d9" w:val="clear"/>
            <w:vAlign w:val="center"/>
          </w:tcPr>
          <w:p w:rsidR="00000000" w:rsidDel="00000000" w:rsidP="00000000" w:rsidRDefault="00000000" w:rsidRPr="00000000" w14:paraId="00000060">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1">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shd w:fill="d9d9d9" w:val="clear"/>
            <w:vAlign w:val="center"/>
          </w:tcPr>
          <w:p w:rsidR="00000000" w:rsidDel="00000000" w:rsidP="00000000" w:rsidRDefault="00000000" w:rsidRPr="00000000" w14:paraId="00000062">
            <w:pPr>
              <w:spacing w:after="200" w:before="100" w:lineRule="auto"/>
              <w:jc w:val="center"/>
              <w:rPr>
                <w:rFonts w:ascii="Arial" w:cs="Arial" w:eastAsia="Arial" w:hAnsi="Arial"/>
                <w:b w:val="1"/>
                <w:sz w:val="24"/>
                <w:szCs w:val="24"/>
              </w:rPr>
            </w:pPr>
            <w:bookmarkStart w:colFirst="0" w:colLast="0" w:name="_heading=h.1ci93xb" w:id="1"/>
            <w:bookmarkEnd w:id="1"/>
            <w:r w:rsidDel="00000000" w:rsidR="00000000" w:rsidRPr="00000000">
              <w:rPr>
                <w:rFonts w:ascii="Arial" w:cs="Arial" w:eastAsia="Arial" w:hAnsi="Arial"/>
                <w:b w:val="1"/>
                <w:sz w:val="24"/>
                <w:szCs w:val="24"/>
                <w:rtl w:val="0"/>
              </w:rPr>
              <w:t xml:space="preserve">Monitoring and Reporting Frequency </w:t>
            </w:r>
          </w:p>
        </w:tc>
      </w:tr>
      <w:tr>
        <w:trPr>
          <w:cantSplit w:val="0"/>
          <w:tblHeader w:val="0"/>
        </w:trPr>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Operating Margin</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tl w:val="0"/>
              </w:rPr>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Operating Margin = Operating Profit / Revenue</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&lt;5%</w:t>
            </w:r>
            <w:r w:rsidDel="00000000" w:rsidR="00000000" w:rsidRPr="00000000">
              <w:rPr>
                <w:rtl w:val="0"/>
              </w:rPr>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Fonts w:ascii="Arial" w:cs="Arial" w:eastAsia="Arial" w:hAnsi="Arial"/>
                <w:i w:val="1"/>
                <w:color w:val="000000"/>
                <w:sz w:val="22"/>
                <w:szCs w:val="22"/>
                <w:rtl w:val="0"/>
              </w:rPr>
              <w:t xml:space="preserve"> </w:t>
            </w:r>
          </w:p>
        </w:tc>
      </w:tr>
      <w:tr>
        <w:trPr>
          <w:cantSplit w:val="0"/>
          <w:tblHeader w:val="0"/>
        </w:trPr>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Net Debt to EBITDA Ratio</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2"/>
                <w:szCs w:val="2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Net Debt to EBITDA ratio = Net Debt / EBITDA</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&gt;3.5x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6D">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Net Interest Paid Cover</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Net Interest Paid Cover = Earnings Before Interest and Tax / Net Interest Paid</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&lt;2.5x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71">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Acid Ratio</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Acid Ratio = (Current Assets – Inventories) / Current Liabilities</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&lt;0.7x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75">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bl>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color w:val="000000"/>
          <w:sz w:val="24"/>
          <w:szCs w:val="24"/>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[Entity 1 e.g Group Member, Sub-contractor, Relevant Parent Company etc.] </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Operating Margin]</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 etc..]</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[3][4][5][6][7][8][etc..]</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[Entity 2 e.g Group Member, Sub-contractor, Relevant Parent Company etc.]</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Operating Margin]</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 etc.]</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[3][4][5][6][7][8][etc..]</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[etc.]</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[etc.]</w:t>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134"/>
        </w:tabs>
        <w:spacing w:after="120" w:before="120" w:lineRule="auto"/>
        <w:ind w:left="360" w:hanging="1004"/>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Termination rights</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Primacy of Credit Ratings</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9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Call-Off Schedule 24 (Corporate Resolution Planning)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99">
      <w:pPr>
        <w:spacing w:after="200" w:line="276" w:lineRule="auto"/>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&amp; Bradstreet </w:t>
      </w:r>
      <w:r w:rsidDel="00000000" w:rsidR="00000000" w:rsidRPr="00000000">
        <w:rPr>
          <w:rtl w:val="0"/>
        </w:rPr>
      </w:r>
    </w:p>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4"/>
          <w:szCs w:val="24"/>
        </w:rPr>
      </w:pPr>
      <w:bookmarkStart w:colFirst="0" w:colLast="0" w:name="_heading=h.2bn6wsx" w:id="3"/>
      <w:bookmarkEnd w:id="3"/>
      <w:r w:rsidDel="00000000" w:rsidR="00000000" w:rsidRPr="00000000">
        <w:rPr>
          <w:rFonts w:ascii="Arial" w:cs="Arial" w:eastAsia="Arial" w:hAnsi="Arial"/>
          <w:b w:val="1"/>
          <w:color w:val="000000"/>
          <w:sz w:val="24"/>
          <w:szCs w:val="24"/>
          <w:rtl w:val="0"/>
        </w:rPr>
        <w:t xml:space="preserve">Annex 2</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0" w:before="20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w:t>
            </w:r>
          </w:p>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20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(long term)</w:t>
            </w:r>
          </w:p>
        </w:tc>
      </w:tr>
      <w:tr>
        <w:trPr>
          <w:cantSplit w:val="0"/>
          <w:tblHeader w:val="0"/>
        </w:trPr>
        <w:tc>
          <w:tcPr>
            <w:shd w:fill="ffffff" w:val="clear"/>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bl>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AD">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bookmarkStart w:colFirst="0" w:colLast="0" w:name="_heading=h.3as4poj"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bookmarkStart w:colFirst="0" w:colLast="0" w:name="_heading=h.1pxezwc"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bookmarkStart w:colFirst="0" w:colLast="0" w:name="_heading=h.49x2ik5"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4"/>
          <w:szCs w:val="24"/>
        </w:rPr>
      </w:pPr>
      <w:bookmarkStart w:colFirst="0" w:colLast="0" w:name="_heading=h.2p2csry" w:id="7"/>
      <w:bookmarkEnd w:id="7"/>
      <w:r w:rsidDel="00000000" w:rsidR="00000000" w:rsidRPr="00000000">
        <w:rPr>
          <w:rFonts w:ascii="Arial" w:cs="Arial" w:eastAsia="Arial" w:hAnsi="Arial"/>
          <w:b w:val="1"/>
          <w:smallCaps w:val="1"/>
          <w:color w:val="000000"/>
          <w:sz w:val="24"/>
          <w:szCs w:val="24"/>
          <w:rtl w:val="0"/>
        </w:rPr>
        <w:t xml:space="preserve">Annex 4: Board Confirmation</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bookmarkStart w:colFirst="0" w:colLast="0" w:name="_heading=h.147n2zr"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5">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rFonts w:ascii="Arial" w:cs="Arial" w:eastAsia="Arial" w:hAnsi="Arial"/>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6">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rFonts w:ascii="Arial" w:cs="Arial" w:eastAsia="Arial" w:hAnsi="Arial"/>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1">
      <w:pPr>
        <w:spacing w:after="200" w:line="276" w:lineRule="auto"/>
        <w:rPr>
          <w:rFonts w:ascii="Arial" w:cs="Arial" w:eastAsia="Arial" w:hAnsi="Arial"/>
          <w:sz w:val="24"/>
          <w:szCs w:val="24"/>
        </w:rPr>
      </w:pPr>
      <w:bookmarkStart w:colFirst="0" w:colLast="0" w:name="_heading=h.4i7ojhp" w:id="9"/>
      <w:bookmarkEnd w:id="9"/>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7">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LCwjLM061PiDXzmzJX5J4pelZg==">CgMxLjAyCWguM2R5NnZrbTIJaC4xY2k5M3hiMgloLjN3aHdtbDQyCWguMmJuNndzeDIJaC4zYXM0cG9qMgloLjFweGV6d2MyCWguNDl4MmlrNTIJaC4ycDJjc3J5MgloLjE0N24yenIyCWguNGk3b2pocDgAciExQzF0OU5GaURBZ2s1ZkJxRXdtS3gzSEhRSHVkWG1CVDU=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2025-01-28T12:15:00Z</dcterms:created>
  <dc:creator>Cassandra Keogh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